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宜春市工业和信息化局2022年度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ascii="仿宋_GB2312" w:hAnsi="Tahoma" w:eastAsia="仿宋_GB2312" w:cs="仿宋_GB2312"/>
          <w:i w:val="0"/>
          <w:iCs w:val="0"/>
          <w:caps w:val="0"/>
          <w:color w:val="000000"/>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依据《中华人民共和国政府信息公开条例》（以下简称《政府信息公开条例》）第五十条之规定，编制本报告。本报告中所列数据统计期限为2022年1月1日至12月31日。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right="0"/>
        <w:jc w:val="both"/>
        <w:rPr>
          <w:rFonts w:ascii="Tahoma" w:hAnsi="Tahoma" w:eastAsia="Tahoma" w:cs="Tahoma"/>
          <w:i w:val="0"/>
          <w:iCs w:val="0"/>
          <w:caps w:val="0"/>
          <w:color w:val="000000"/>
          <w:spacing w:val="0"/>
          <w:sz w:val="22"/>
          <w:szCs w:val="22"/>
        </w:rPr>
      </w:pP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如对本报告有任何疑问，请与宜春市工业和信息化局秘书科联系（地址：宜春市市政大楼215室，电话：0795-3272608，邮编：336000，电子邮箱：ycsgxjmsk@163.com）。</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ascii="方正黑体_GBK" w:hAnsi="方正黑体_GBK" w:eastAsia="方正黑体_GBK" w:cs="方正黑体_GBK"/>
          <w:i w:val="0"/>
          <w:iCs w:val="0"/>
          <w:caps w:val="0"/>
          <w:color w:val="000000"/>
          <w:spacing w:val="0"/>
          <w:kern w:val="0"/>
          <w:sz w:val="32"/>
          <w:szCs w:val="32"/>
          <w:shd w:val="clear" w:color="auto" w:fill="FFFFFF"/>
          <w:lang w:val="en-US" w:eastAsia="zh-CN" w:bidi="ar"/>
        </w:rPr>
        <w:t>一、总体情况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2022年，在市委、市政府的坚强领导下，宜春市工业和信息化局坚持以习近平新时代中国特色社会主义思想为指导，全面贯彻落实党的二十大和党的十九大及历次全会精神，深入贯彻落实习近平总书记视察江西重要讲话和重要指示批示精神，紧紧围绕省委、省政府和市委、市政府的决策部署，严格落实《条例》规定和要求，坚持以人民为中心的发展理念，聚焦市场主体和社会公众关切，持续深入推进政务公开，政府工作透明度进一步提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（一）主动公开情况。</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2022年通过宜春市工业和信息化局门户网站主动发布政务信息309条，通过宜春市工业和信息化局政府信息公开发布信息133条，通过“宜春工信”微信公众号发布信息232条。共举办了4场新闻发布会, 其中主要负责同志参加新闻发布会2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（二）依申请公开。</w:t>
      </w:r>
      <w:r>
        <w:rPr>
          <w:rFonts w:hint="eastAsia" w:ascii="仿宋_GB2312" w:hAnsi="Tahoma" w:eastAsia="仿宋_GB2312" w:cs="仿宋_GB2312"/>
          <w:b w:val="0"/>
          <w:bCs w:val="0"/>
          <w:i w:val="0"/>
          <w:iCs w:val="0"/>
          <w:caps w:val="0"/>
          <w:color w:val="000000"/>
          <w:spacing w:val="0"/>
          <w:kern w:val="0"/>
          <w:sz w:val="32"/>
          <w:szCs w:val="32"/>
          <w:shd w:val="clear" w:color="auto" w:fill="FFFFFF"/>
          <w:lang w:val="en-US" w:eastAsia="zh-CN" w:bidi="ar"/>
        </w:rPr>
        <w:t>2022年</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共收到政府信息公开申请0件。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（三）政府信息管理。</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在信息公开专栏集中公开法定公开信息并动态更新。严格遵照《政府信息公开条例》有关规定，建立健全政府信息发布保密审查机制，明确信息发布内容保密“三审”流程，有效预防了泄密事件的发生。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（四）政府信息平台建设情况。</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推进局网站改造升级。全面完成政府网站IPv6升级改造。强化微信公众号“宜春工信”的管理。对上级部门通过全市政府网站与政务新媒体错敏信息专项排查整治行动查找的问题，及时进行整改，常态化做好信息发布“三审三校”。切实提升政务新媒体管理工作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（五）监督保障。</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为扎实有效的深入开展好政务公开各项工作，根据单位人员变动情况，及时对局政务公开工作领导小组进行调整，领导小组组长由局主要负责同志担任，分管领导担任副组长，明确由秘书科具体负责政府信息公开工作日常工作的组织、协调、监督、检查落实等。制定并印发了《2022年宜春市工信局政务公开工作要点》，明确了各项工作的牵头科室、责任科室和完成时限。形成一级抓一级，层层抓落实的良好工作局面，做到领导力度、目标责任、监督检查“三到位”，为政务公开工作的顺利开展提供了强有力的保障。依据《宜春市工信局政务公开考核实施办法》，对全局干部进行政务公开工作考核，有效的推动了我局政务公开的深入开展，加强和改进了工作作风。</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rPr>
          <w:rFonts w:hint="eastAsia" w:ascii="黑体" w:hAnsi="黑体" w:eastAsia="黑体" w:cs="宋体"/>
          <w:bCs/>
          <w:color w:val="000000"/>
          <w:sz w:val="32"/>
          <w:szCs w:val="32"/>
        </w:rPr>
      </w:pPr>
      <w:r>
        <w:rPr>
          <w:rFonts w:hint="eastAsia" w:ascii="黑体" w:hAnsi="黑体" w:eastAsia="黑体" w:cs="宋体"/>
          <w:bCs/>
          <w:color w:val="000000"/>
          <w:sz w:val="32"/>
          <w:szCs w:val="32"/>
        </w:rPr>
        <w:t>二、主动公开政府信息情况</w:t>
      </w:r>
    </w:p>
    <w:tbl>
      <w:tblPr>
        <w:tblStyle w:val="2"/>
        <w:tblpPr w:leftFromText="180" w:rightFromText="180" w:vertAnchor="text" w:horzAnchor="page" w:tblpXSpec="center" w:tblpY="577"/>
        <w:tblOverlap w:val="neve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58"/>
        <w:gridCol w:w="1973"/>
        <w:gridCol w:w="2340"/>
        <w:gridCol w:w="2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7220" w:type="dxa"/>
            <w:gridSpan w:val="4"/>
            <w:tcBorders>
              <w:top w:val="single" w:color="000000" w:sz="8" w:space="0"/>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450" w:type="dxa"/>
            <w:vMerge w:val="restart"/>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3690" w:type="dxa"/>
            <w:vMerge w:val="restart"/>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本年制发件数</w:t>
            </w:r>
          </w:p>
        </w:tc>
        <w:tc>
          <w:tcPr>
            <w:tcW w:w="4455" w:type="dxa"/>
            <w:vMerge w:val="restart"/>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本年废止件数</w:t>
            </w:r>
          </w:p>
        </w:tc>
        <w:tc>
          <w:tcPr>
            <w:tcW w:w="5625" w:type="dxa"/>
            <w:vMerge w:val="restart"/>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3450" w:type="dxa"/>
            <w:vMerge w:val="continue"/>
            <w:tcBorders>
              <w:top w:val="nil"/>
              <w:left w:val="single" w:color="000000" w:sz="8" w:space="0"/>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3690" w:type="dxa"/>
            <w:vMerge w:val="continue"/>
            <w:tcBorders>
              <w:top w:val="nil"/>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4455" w:type="dxa"/>
            <w:vMerge w:val="continue"/>
            <w:tcBorders>
              <w:top w:val="nil"/>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c>
          <w:tcPr>
            <w:tcW w:w="5625" w:type="dxa"/>
            <w:vMerge w:val="continue"/>
            <w:tcBorders>
              <w:top w:val="single" w:color="000000" w:sz="8" w:space="0"/>
              <w:left w:val="nil"/>
              <w:bottom w:val="single" w:color="000000" w:sz="8" w:space="0"/>
              <w:right w:val="single" w:color="000000" w:sz="8" w:space="0"/>
            </w:tcBorders>
            <w:shd w:val="clear" w:color="auto" w:fill="E6F4FF"/>
            <w:noWrap w:val="0"/>
            <w:vAlign w:val="center"/>
          </w:tcPr>
          <w:p>
            <w:pPr>
              <w:jc w:val="center"/>
              <w:rPr>
                <w:rFonts w:hint="default" w:ascii="Times New Roman" w:hAnsi="Times New Roman" w:eastAsia="宋体" w:cs="Times New Roman"/>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规章</w:t>
            </w:r>
          </w:p>
        </w:tc>
        <w:tc>
          <w:tcPr>
            <w:tcW w:w="3690"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45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62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lang w:val="en-US" w:eastAsia="zh-CN"/>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行政规范性文件</w:t>
            </w:r>
          </w:p>
        </w:tc>
        <w:tc>
          <w:tcPr>
            <w:tcW w:w="3690"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eastAsia="zh-CN"/>
              </w:rPr>
            </w:pPr>
            <w:r>
              <w:rPr>
                <w:rFonts w:hint="eastAsia" w:ascii="Times New Roman" w:hAnsi="Times New Roman" w:eastAsia="微软雅黑" w:cs="Times New Roman"/>
                <w:i w:val="0"/>
                <w:iCs w:val="0"/>
                <w:color w:val="333333"/>
                <w:sz w:val="21"/>
                <w:szCs w:val="21"/>
                <w:u w:val="none"/>
                <w:lang w:val="en-US" w:eastAsia="zh-CN"/>
              </w:rPr>
              <w:t>1</w:t>
            </w:r>
          </w:p>
        </w:tc>
        <w:tc>
          <w:tcPr>
            <w:tcW w:w="445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eastAsia="zh-CN"/>
              </w:rPr>
            </w:pPr>
            <w:r>
              <w:rPr>
                <w:rFonts w:hint="eastAsia" w:ascii="Times New Roman" w:hAnsi="Times New Roman" w:eastAsia="微软雅黑" w:cs="Times New Roman"/>
                <w:i w:val="0"/>
                <w:iCs w:val="0"/>
                <w:color w:val="333333"/>
                <w:sz w:val="21"/>
                <w:szCs w:val="21"/>
                <w:u w:val="none"/>
                <w:lang w:val="en-US" w:eastAsia="zh-CN"/>
              </w:rPr>
              <w:t>0</w:t>
            </w:r>
          </w:p>
        </w:tc>
        <w:tc>
          <w:tcPr>
            <w:tcW w:w="5625" w:type="dxa"/>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FF0000"/>
                <w:sz w:val="21"/>
                <w:szCs w:val="21"/>
                <w:u w:val="none"/>
                <w:lang w:val="en-US"/>
              </w:rPr>
            </w:pPr>
            <w:r>
              <w:rPr>
                <w:rFonts w:hint="eastAsia" w:ascii="Times New Roman" w:hAnsi="Times New Roman" w:eastAsia="微软雅黑" w:cs="Times New Roman"/>
                <w:i w:val="0"/>
                <w:iCs w:val="0"/>
                <w:color w:val="333333"/>
                <w:sz w:val="21"/>
                <w:szCs w:val="21"/>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行政许可</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行政处罚</w:t>
            </w:r>
          </w:p>
        </w:tc>
        <w:tc>
          <w:tcPr>
            <w:tcW w:w="13770" w:type="dxa"/>
            <w:gridSpan w:val="3"/>
            <w:tcBorders>
              <w:top w:val="nil"/>
              <w:left w:val="nil"/>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行政强制</w:t>
            </w:r>
          </w:p>
        </w:tc>
        <w:tc>
          <w:tcPr>
            <w:tcW w:w="13770" w:type="dxa"/>
            <w:gridSpan w:val="3"/>
            <w:tcBorders>
              <w:top w:val="nil"/>
              <w:left w:val="nil"/>
              <w:bottom w:val="single" w:color="000000" w:sz="8" w:space="0"/>
              <w:right w:val="single" w:color="000000" w:sz="8" w:space="0"/>
            </w:tcBorders>
            <w:shd w:val="clear" w:color="auto" w:fill="DAEEF3"/>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nil"/>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信息内容</w:t>
            </w:r>
          </w:p>
        </w:tc>
        <w:tc>
          <w:tcPr>
            <w:tcW w:w="13770" w:type="dxa"/>
            <w:gridSpan w:val="3"/>
            <w:tcBorders>
              <w:top w:val="single" w:color="000000" w:sz="8" w:space="0"/>
              <w:left w:val="single" w:color="000000" w:sz="8" w:space="0"/>
              <w:bottom w:val="single" w:color="000000" w:sz="8" w:space="0"/>
              <w:right w:val="single" w:color="000000" w:sz="4"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333333"/>
                <w:sz w:val="18"/>
                <w:szCs w:val="18"/>
                <w:u w:val="none"/>
              </w:rPr>
            </w:pPr>
            <w:r>
              <w:rPr>
                <w:rFonts w:hint="default" w:ascii="Times New Roman" w:hAnsi="Times New Roman" w:eastAsia="宋体" w:cs="Times New Roman"/>
                <w:b/>
                <w:bCs/>
                <w:i w:val="0"/>
                <w:iCs w:val="0"/>
                <w:color w:val="333333"/>
                <w:kern w:val="0"/>
                <w:sz w:val="18"/>
                <w:szCs w:val="18"/>
                <w:u w:val="none"/>
                <w:lang w:val="en-US" w:eastAsia="zh-CN" w:bidi="ar"/>
              </w:rPr>
              <w:t>行政事业性收费</w:t>
            </w:r>
          </w:p>
        </w:tc>
        <w:tc>
          <w:tcPr>
            <w:tcW w:w="13770" w:type="dxa"/>
            <w:gridSpan w:val="3"/>
            <w:tcBorders>
              <w:top w:val="nil"/>
              <w:left w:val="nil"/>
              <w:bottom w:val="single" w:color="000000" w:sz="8" w:space="0"/>
              <w:right w:val="single" w:color="000000" w:sz="8" w:space="0"/>
            </w:tcBorders>
            <w:shd w:val="clear" w:color="auto" w:fill="DAEEF3"/>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rPr>
          <w:rFonts w:hint="eastAsia" w:ascii="黑体" w:hAnsi="黑体" w:eastAsia="黑体" w:cs="宋体"/>
          <w:bCs/>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rPr>
          <w:rFonts w:hint="eastAsia" w:ascii="黑体" w:hAnsi="黑体" w:eastAsia="黑体" w:cs="宋体"/>
          <w:bCs/>
          <w:color w:val="000000"/>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rPr>
          <w:rFonts w:hint="eastAsia" w:ascii="黑体" w:hAnsi="黑体" w:eastAsia="黑体" w:cs="宋体"/>
          <w:bCs/>
          <w:color w:val="000000"/>
          <w:sz w:val="32"/>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rPr>
          <w:rFonts w:hint="eastAsia" w:ascii="黑体" w:hAnsi="黑体" w:eastAsia="黑体" w:cs="宋体"/>
          <w:bCs/>
          <w:color w:val="000000"/>
          <w:sz w:val="32"/>
          <w:szCs w:val="32"/>
        </w:rPr>
      </w:pPr>
      <w:r>
        <w:rPr>
          <w:rFonts w:hint="eastAsia" w:ascii="黑体" w:hAnsi="黑体" w:eastAsia="黑体" w:cs="宋体"/>
          <w:bCs/>
          <w:color w:val="000000"/>
          <w:sz w:val="32"/>
          <w:szCs w:val="32"/>
        </w:rPr>
        <w:t>三、收到和处理政府信息公开申请情况</w:t>
      </w:r>
    </w:p>
    <w:tbl>
      <w:tblPr>
        <w:tblStyle w:val="2"/>
        <w:tblW w:w="54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3"/>
        <w:gridCol w:w="1130"/>
        <w:gridCol w:w="1661"/>
        <w:gridCol w:w="817"/>
        <w:gridCol w:w="740"/>
        <w:gridCol w:w="765"/>
        <w:gridCol w:w="894"/>
        <w:gridCol w:w="906"/>
        <w:gridCol w:w="809"/>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1915" w:type="pct"/>
            <w:gridSpan w:val="3"/>
            <w:vMerge w:val="restart"/>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8"/>
                <w:szCs w:val="18"/>
                <w:u w:val="none"/>
              </w:rPr>
            </w:pPr>
            <w:r>
              <w:rPr>
                <w:rFonts w:hint="default" w:ascii="Times New Roman" w:hAnsi="Times New Roman" w:eastAsia="宋体" w:cs="Times New Roman"/>
                <w:i w:val="0"/>
                <w:iCs w:val="0"/>
                <w:color w:val="333333"/>
                <w:kern w:val="0"/>
                <w:sz w:val="18"/>
                <w:szCs w:val="18"/>
                <w:u w:val="none"/>
                <w:lang w:val="en-US" w:eastAsia="zh-CN" w:bidi="ar"/>
              </w:rPr>
              <w:t>（本列数据的勾稽关系为：第一项加第二项之和，等于第三项加第四项之和）</w:t>
            </w:r>
          </w:p>
        </w:tc>
        <w:tc>
          <w:tcPr>
            <w:tcW w:w="3084" w:type="pct"/>
            <w:gridSpan w:val="7"/>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915"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333333"/>
                <w:sz w:val="18"/>
                <w:szCs w:val="18"/>
                <w:u w:val="none"/>
              </w:rPr>
            </w:pPr>
          </w:p>
        </w:tc>
        <w:tc>
          <w:tcPr>
            <w:tcW w:w="440"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自然人</w:t>
            </w:r>
          </w:p>
        </w:tc>
        <w:tc>
          <w:tcPr>
            <w:tcW w:w="2217" w:type="pct"/>
            <w:gridSpan w:val="5"/>
            <w:tcBorders>
              <w:top w:val="single" w:color="000000" w:sz="8" w:space="0"/>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法人或其他组织</w:t>
            </w:r>
          </w:p>
        </w:tc>
        <w:tc>
          <w:tcPr>
            <w:tcW w:w="426"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915"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333333"/>
                <w:sz w:val="18"/>
                <w:szCs w:val="18"/>
                <w:u w:val="none"/>
              </w:rPr>
            </w:pPr>
          </w:p>
        </w:tc>
        <w:tc>
          <w:tcPr>
            <w:tcW w:w="440"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商业企业</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科研机构</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社会公益组织</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法律服务机构</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其他</w:t>
            </w:r>
          </w:p>
        </w:tc>
        <w:tc>
          <w:tcPr>
            <w:tcW w:w="426"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一、本年新收政府信息公开申请数量</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二、上年结转政府信息公开申请数量</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411" w:type="pct"/>
            <w:vMerge w:val="restart"/>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三、本年度办理结果</w:t>
            </w: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（一）予以公开</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（二）部分公开（区分处理的，只计这一情形，不计其他情形）</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（三）不予公开</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1.属于国家秘密</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2.其他法律行政法规禁止公开</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3.危及“三安全一稳定”</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4.保护第三方合法权益</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5.属于三类内部事务信息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6.属于四类过程性信息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7.属于行政执法案卷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kern w:val="0"/>
                <w:sz w:val="19"/>
                <w:szCs w:val="19"/>
                <w:u w:val="none"/>
                <w:lang w:val="en-US" w:eastAsia="zh-CN" w:bidi="ar"/>
              </w:rPr>
            </w:pPr>
            <w:r>
              <w:rPr>
                <w:rFonts w:hint="default" w:ascii="Times New Roman" w:hAnsi="Times New Roman" w:eastAsia="楷体" w:cs="Times New Roman"/>
                <w:i w:val="0"/>
                <w:iCs w:val="0"/>
                <w:color w:val="333333"/>
                <w:kern w:val="0"/>
                <w:sz w:val="19"/>
                <w:szCs w:val="19"/>
                <w:u w:val="none"/>
                <w:lang w:val="en-US" w:eastAsia="zh-CN" w:bidi="ar"/>
              </w:rPr>
              <w:t>8.属于行政查询事项</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（四）无法提供</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1.本机关不掌握相关政府信息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2.没有现成信息需要另行制作</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3.补正后申请内容仍不明确</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（五）不予处理</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1.信访举报投诉类申请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2.重复申请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3.要求提供公开出版物</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4.无正当理由大量反复申请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5.要求行政机关确认或重新出具已获取信息</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restar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（六）其他处理</w:t>
            </w: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1.申请人无正当理由逾期不补正、行政机关不再处理其政府信息公开申请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2.申请人逾期未按收费通知要求缴纳费用、行政机关不再处理其政府信息公开申请</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609" w:type="pct"/>
            <w:vMerge w:val="continue"/>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楷体" w:cs="Times New Roman"/>
                <w:i w:val="0"/>
                <w:iCs w:val="0"/>
                <w:color w:val="333333"/>
                <w:sz w:val="19"/>
                <w:szCs w:val="19"/>
                <w:u w:val="none"/>
              </w:rPr>
            </w:pPr>
          </w:p>
        </w:tc>
        <w:tc>
          <w:tcPr>
            <w:tcW w:w="893"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3.其他</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1" w:type="pct"/>
            <w:vMerge w:val="continue"/>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333333"/>
                <w:sz w:val="19"/>
                <w:szCs w:val="19"/>
                <w:u w:val="none"/>
              </w:rPr>
            </w:pPr>
          </w:p>
        </w:tc>
        <w:tc>
          <w:tcPr>
            <w:tcW w:w="1503" w:type="pct"/>
            <w:gridSpan w:val="2"/>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楷体" w:cs="Times New Roman"/>
                <w:i w:val="0"/>
                <w:iCs w:val="0"/>
                <w:color w:val="333333"/>
                <w:sz w:val="19"/>
                <w:szCs w:val="19"/>
                <w:u w:val="none"/>
              </w:rPr>
            </w:pPr>
            <w:r>
              <w:rPr>
                <w:rFonts w:hint="default" w:ascii="Times New Roman" w:hAnsi="Times New Roman" w:eastAsia="楷体" w:cs="Times New Roman"/>
                <w:i w:val="0"/>
                <w:iCs w:val="0"/>
                <w:color w:val="333333"/>
                <w:kern w:val="0"/>
                <w:sz w:val="19"/>
                <w:szCs w:val="19"/>
                <w:u w:val="none"/>
                <w:lang w:val="en-US" w:eastAsia="zh-CN" w:bidi="ar"/>
              </w:rPr>
              <w:t>（七）总计</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1915" w:type="pct"/>
            <w:gridSpan w:val="3"/>
            <w:tcBorders>
              <w:top w:val="nil"/>
              <w:left w:val="single" w:color="000000" w:sz="8" w:space="0"/>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333333"/>
                <w:sz w:val="19"/>
                <w:szCs w:val="19"/>
                <w:u w:val="none"/>
              </w:rPr>
            </w:pPr>
            <w:r>
              <w:rPr>
                <w:rFonts w:hint="default" w:ascii="Times New Roman" w:hAnsi="Times New Roman" w:eastAsia="宋体" w:cs="Times New Roman"/>
                <w:i w:val="0"/>
                <w:iCs w:val="0"/>
                <w:color w:val="333333"/>
                <w:kern w:val="0"/>
                <w:sz w:val="19"/>
                <w:szCs w:val="19"/>
                <w:u w:val="none"/>
                <w:lang w:val="en-US" w:eastAsia="zh-CN" w:bidi="ar"/>
              </w:rPr>
              <w:t>四、结转下年度继续办理</w:t>
            </w:r>
          </w:p>
        </w:tc>
        <w:tc>
          <w:tcPr>
            <w:tcW w:w="440"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c>
          <w:tcPr>
            <w:tcW w:w="399"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1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2"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88"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34"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426" w:type="pct"/>
            <w:tcBorders>
              <w:top w:val="nil"/>
              <w:left w:val="nil"/>
              <w:bottom w:val="single" w:color="000000" w:sz="8" w:space="0"/>
              <w:right w:val="single" w:color="000000" w:sz="8" w:space="0"/>
            </w:tcBorders>
            <w:shd w:val="clear" w:color="auto" w:fill="E6F4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微软雅黑" w:cs="Times New Roman"/>
                <w:i w:val="0"/>
                <w:iCs w:val="0"/>
                <w:color w:val="333333"/>
                <w:sz w:val="21"/>
                <w:szCs w:val="21"/>
                <w:u w:val="none"/>
              </w:rPr>
            </w:pPr>
            <w:r>
              <w:rPr>
                <w:rFonts w:hint="eastAsia" w:ascii="Times New Roman" w:hAnsi="Times New Roman" w:eastAsia="微软雅黑" w:cs="Times New Roman"/>
                <w:i w:val="0"/>
                <w:iCs w:val="0"/>
                <w:color w:val="333333"/>
                <w:sz w:val="21"/>
                <w:szCs w:val="21"/>
                <w:u w:val="none"/>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default" w:ascii="黑体" w:hAnsi="黑体" w:eastAsia="黑体" w:cs="宋体"/>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cs="宋体"/>
          <w:bCs/>
          <w:color w:val="000000"/>
          <w:sz w:val="32"/>
          <w:szCs w:val="32"/>
        </w:rPr>
      </w:pPr>
      <w:r>
        <w:rPr>
          <w:rFonts w:hint="default" w:ascii="黑体" w:hAnsi="黑体" w:eastAsia="黑体" w:cs="宋体"/>
          <w:bCs/>
          <w:color w:val="000000"/>
          <w:sz w:val="32"/>
          <w:szCs w:val="32"/>
        </w:rPr>
        <w:t>四、</w:t>
      </w:r>
      <w:r>
        <w:rPr>
          <w:rFonts w:hint="eastAsia" w:ascii="黑体" w:hAnsi="黑体" w:eastAsia="黑体" w:cs="宋体"/>
          <w:bCs/>
          <w:color w:val="000000"/>
          <w:sz w:val="32"/>
          <w:szCs w:val="32"/>
        </w:rPr>
        <w:t>政府信息公开行政复议、行政诉讼情况</w:t>
      </w:r>
    </w:p>
    <w:tbl>
      <w:tblPr>
        <w:tblStyle w:val="2"/>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2"/>
        <w:gridCol w:w="638"/>
        <w:gridCol w:w="619"/>
        <w:gridCol w:w="638"/>
        <w:gridCol w:w="582"/>
        <w:gridCol w:w="600"/>
        <w:gridCol w:w="563"/>
        <w:gridCol w:w="638"/>
        <w:gridCol w:w="619"/>
        <w:gridCol w:w="600"/>
        <w:gridCol w:w="638"/>
        <w:gridCol w:w="619"/>
        <w:gridCol w:w="582"/>
        <w:gridCol w:w="619"/>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jc w:val="center"/>
        </w:trPr>
        <w:tc>
          <w:tcPr>
            <w:tcW w:w="305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行政复议</w:t>
            </w:r>
          </w:p>
        </w:tc>
        <w:tc>
          <w:tcPr>
            <w:tcW w:w="6012"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尚未审结</w:t>
            </w:r>
          </w:p>
        </w:tc>
        <w:tc>
          <w:tcPr>
            <w:tcW w:w="5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c>
          <w:tcPr>
            <w:tcW w:w="30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未经复议直接起诉</w:t>
            </w:r>
          </w:p>
        </w:tc>
        <w:tc>
          <w:tcPr>
            <w:tcW w:w="299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尚未结案</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结果维持</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结果纠正</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其他结果</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尚未结案</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6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333333"/>
                <w:kern w:val="0"/>
                <w:sz w:val="21"/>
                <w:szCs w:val="21"/>
                <w:u w:val="none"/>
                <w:lang w:val="en-US" w:eastAsia="zh-CN" w:bidi="ar"/>
              </w:rPr>
            </w:pPr>
            <w:r>
              <w:rPr>
                <w:rFonts w:hint="default" w:ascii="Times New Roman" w:hAnsi="Times New Roman" w:eastAsia="微软雅黑" w:cs="Times New Roman"/>
                <w:i w:val="0"/>
                <w:iCs w:val="0"/>
                <w:color w:val="333333"/>
                <w:kern w:val="0"/>
                <w:sz w:val="21"/>
                <w:szCs w:val="21"/>
                <w:u w:val="none"/>
                <w:lang w:val="en-US" w:eastAsia="zh-CN" w:bidi="ar"/>
              </w:rPr>
              <w:t>0</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ascii="黑体" w:hAnsi="宋体" w:eastAsia="黑体" w:cs="黑体"/>
          <w:i w:val="0"/>
          <w:iCs w:val="0"/>
          <w:caps w:val="0"/>
          <w:color w:val="000000"/>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ascii="Tahoma" w:hAnsi="Tahoma" w:eastAsia="Tahoma" w:cs="Tahoma"/>
          <w:i w:val="0"/>
          <w:iCs w:val="0"/>
          <w:caps w:val="0"/>
          <w:color w:val="000000"/>
          <w:spacing w:val="0"/>
          <w:sz w:val="22"/>
          <w:szCs w:val="22"/>
        </w:rPr>
      </w:pPr>
      <w:r>
        <w:rPr>
          <w:rFonts w:ascii="黑体" w:hAnsi="宋体" w:eastAsia="黑体" w:cs="黑体"/>
          <w:i w:val="0"/>
          <w:iCs w:val="0"/>
          <w:caps w:val="0"/>
          <w:color w:val="000000"/>
          <w:spacing w:val="0"/>
          <w:kern w:val="0"/>
          <w:sz w:val="32"/>
          <w:szCs w:val="32"/>
          <w:shd w:val="clear" w:color="auto" w:fill="FFFFFF"/>
          <w:lang w:val="en-US" w:eastAsia="zh-CN" w:bidi="ar"/>
        </w:rPr>
        <w:t>五、存在的主要问题及改进情况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ascii="仿宋_GB2312" w:hAnsi="Tahoma" w:eastAsia="仿宋_GB2312" w:cs="仿宋_GB2312"/>
          <w:i w:val="0"/>
          <w:iCs w:val="0"/>
          <w:caps w:val="0"/>
          <w:color w:val="000000"/>
          <w:spacing w:val="0"/>
          <w:kern w:val="0"/>
          <w:sz w:val="32"/>
          <w:szCs w:val="32"/>
          <w:shd w:val="clear" w:color="auto" w:fill="FFFFFF"/>
          <w:lang w:val="en-US" w:eastAsia="zh-CN" w:bidi="ar"/>
        </w:rPr>
        <w:t>一年来，我局圆满完成了政务公开的各项工作任务，但对照</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《条例》的高标准严要求，还是存在一定差距。</w:t>
      </w: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一是自选动作不多。</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虽能够按照上级部门要求，完成规定动作，但主动谋划创新，开展自选活动能力较弱。</w:t>
      </w: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二是政府信息公开平台建设仍显不足</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。政府信息公开平台是机关对外信息公开的主阵地，因栏目设置的合理性、创新性等问题，信息公开的充分性和及时性仍有待提高。</w:t>
      </w: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三是人员能力不足问题仍然存在。</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政务公开工作的要求和标准越来越高，政策解读多样化、错敏字排查等工作，对于工作人员专业能力的要求高，目前我局工作人员的能力与之仍有差距。</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2"/>
        <w:jc w:val="both"/>
        <w:rPr>
          <w:rFonts w:hint="default" w:ascii="Tahoma" w:hAnsi="Tahoma" w:eastAsia="Tahoma" w:cs="Tahoma"/>
          <w:i w:val="0"/>
          <w:iCs w:val="0"/>
          <w:caps w:val="0"/>
          <w:color w:val="000000"/>
          <w:spacing w:val="0"/>
          <w:sz w:val="22"/>
          <w:szCs w:val="22"/>
          <w:lang w:val="en-US"/>
        </w:rPr>
      </w:pPr>
      <w:r>
        <w:rPr>
          <w:rFonts w:hint="eastAsia" w:ascii="仿宋_GB2312" w:hAnsi="Tahoma" w:eastAsia="仿宋_GB2312" w:cs="仿宋_GB2312"/>
          <w:b/>
          <w:bCs/>
          <w:i w:val="0"/>
          <w:iCs w:val="0"/>
          <w:caps w:val="0"/>
          <w:color w:val="000000"/>
          <w:spacing w:val="0"/>
          <w:kern w:val="0"/>
          <w:sz w:val="32"/>
          <w:szCs w:val="32"/>
          <w:shd w:val="clear" w:color="auto" w:fill="FFFFFF"/>
          <w:lang w:val="en-US" w:eastAsia="zh-CN" w:bidi="ar"/>
        </w:rPr>
        <w:t>改进措施</w:t>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：1.对外寻求与第三方专业机构的合作，借助专业力量提升我局政务公开工作质量；2.积极开拓创新，开阔思路，做好自选动作；3.加强学习，提高全局领导干部公开意识和能力。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hint="default" w:ascii="黑体" w:hAnsi="宋体" w:eastAsia="黑体" w:cs="黑体"/>
          <w:i w:val="0"/>
          <w:iCs w:val="0"/>
          <w:caps w:val="0"/>
          <w:color w:val="000000"/>
          <w:spacing w:val="0"/>
          <w:kern w:val="0"/>
          <w:sz w:val="32"/>
          <w:szCs w:val="32"/>
          <w:shd w:val="clear" w:color="auto" w:fill="FFFFFF"/>
          <w:lang w:val="en-US" w:eastAsia="zh-CN" w:bidi="ar"/>
        </w:rPr>
        <w:t>六、其他需要报告的事项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Autospacing="0" w:after="0" w:afterAutospacing="0" w:line="600" w:lineRule="exact"/>
        <w:ind w:left="0" w:right="0" w:firstLine="640"/>
        <w:jc w:val="both"/>
        <w:rPr>
          <w:rFonts w:hint="default" w:ascii="Tahoma" w:hAnsi="Tahoma" w:eastAsia="Tahoma" w:cs="Tahoma"/>
          <w:i w:val="0"/>
          <w:iCs w:val="0"/>
          <w:caps w:val="0"/>
          <w:color w:val="000000"/>
          <w:spacing w:val="0"/>
          <w:sz w:val="22"/>
          <w:szCs w:val="22"/>
        </w:rPr>
      </w:pP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2022年度，本机关无收取信息处理费情况，宜春市工业和信息化局网站网址为：</w:t>
      </w:r>
      <w:r>
        <w:rPr>
          <w:rFonts w:hint="default" w:ascii="Tahoma" w:hAnsi="Tahoma" w:eastAsia="Tahoma" w:cs="Tahoma"/>
          <w:i w:val="0"/>
          <w:iCs w:val="0"/>
          <w:caps w:val="0"/>
          <w:color w:val="0000EE"/>
          <w:spacing w:val="0"/>
          <w:kern w:val="0"/>
          <w:sz w:val="22"/>
          <w:szCs w:val="22"/>
          <w:u w:val="none"/>
          <w:shd w:val="clear" w:color="auto" w:fill="FFFFFF"/>
          <w:lang w:val="en-US" w:eastAsia="zh-CN" w:bidi="ar"/>
        </w:rPr>
        <w:fldChar w:fldCharType="begin"/>
      </w:r>
      <w:r>
        <w:rPr>
          <w:rFonts w:hint="default" w:ascii="Tahoma" w:hAnsi="Tahoma" w:eastAsia="Tahoma" w:cs="Tahoma"/>
          <w:i w:val="0"/>
          <w:iCs w:val="0"/>
          <w:caps w:val="0"/>
          <w:color w:val="0000EE"/>
          <w:spacing w:val="0"/>
          <w:kern w:val="0"/>
          <w:sz w:val="22"/>
          <w:szCs w:val="22"/>
          <w:u w:val="none"/>
          <w:shd w:val="clear" w:color="auto" w:fill="FFFFFF"/>
          <w:lang w:val="en-US" w:eastAsia="zh-CN" w:bidi="ar"/>
        </w:rPr>
        <w:instrText xml:space="preserve"> HYPERLINK "http://drc.yichun.gov.cn/" </w:instrText>
      </w:r>
      <w:r>
        <w:rPr>
          <w:rFonts w:hint="default" w:ascii="Tahoma" w:hAnsi="Tahoma" w:eastAsia="Tahoma" w:cs="Tahoma"/>
          <w:i w:val="0"/>
          <w:iCs w:val="0"/>
          <w:caps w:val="0"/>
          <w:color w:val="0000EE"/>
          <w:spacing w:val="0"/>
          <w:kern w:val="0"/>
          <w:sz w:val="22"/>
          <w:szCs w:val="22"/>
          <w:u w:val="none"/>
          <w:shd w:val="clear" w:color="auto" w:fill="FFFFFF"/>
          <w:lang w:val="en-US" w:eastAsia="zh-CN" w:bidi="ar"/>
        </w:rPr>
        <w:fldChar w:fldCharType="separate"/>
      </w:r>
      <w:r>
        <w:rPr>
          <w:rStyle w:val="4"/>
          <w:rFonts w:hint="eastAsia" w:ascii="仿宋_GB2312" w:hAnsi="Tahoma" w:eastAsia="仿宋_GB2312" w:cs="仿宋_GB2312"/>
          <w:i w:val="0"/>
          <w:iCs w:val="0"/>
          <w:caps w:val="0"/>
          <w:color w:val="000000"/>
          <w:spacing w:val="0"/>
          <w:sz w:val="32"/>
          <w:szCs w:val="32"/>
          <w:u w:val="none"/>
          <w:shd w:val="clear" w:color="auto" w:fill="FFFFFF"/>
        </w:rPr>
        <w:t>http://gxj.yichun.gov.cn/</w:t>
      </w:r>
      <w:r>
        <w:rPr>
          <w:rFonts w:hint="default" w:ascii="Tahoma" w:hAnsi="Tahoma" w:eastAsia="Tahoma" w:cs="Tahoma"/>
          <w:i w:val="0"/>
          <w:iCs w:val="0"/>
          <w:caps w:val="0"/>
          <w:color w:val="0000EE"/>
          <w:spacing w:val="0"/>
          <w:kern w:val="0"/>
          <w:sz w:val="22"/>
          <w:szCs w:val="22"/>
          <w:u w:val="none"/>
          <w:shd w:val="clear" w:color="auto" w:fill="FFFFFF"/>
          <w:lang w:val="en-US" w:eastAsia="zh-CN" w:bidi="ar"/>
        </w:rPr>
        <w:fldChar w:fldCharType="end"/>
      </w:r>
      <w:r>
        <w:rPr>
          <w:rFonts w:hint="eastAsia" w:ascii="仿宋_GB2312" w:hAnsi="Tahoma" w:eastAsia="仿宋_GB2312" w:cs="仿宋_GB2312"/>
          <w:i w:val="0"/>
          <w:iCs w:val="0"/>
          <w:caps w:val="0"/>
          <w:color w:val="000000"/>
          <w:spacing w:val="0"/>
          <w:kern w:val="0"/>
          <w:sz w:val="32"/>
          <w:szCs w:val="32"/>
          <w:shd w:val="clear" w:color="auto" w:fill="FFFFFF"/>
          <w:lang w:val="en-US" w:eastAsia="zh-CN" w:bidi="ar"/>
        </w:rPr>
        <w:t>，宜春市工业和信息化局政府信息公开网址为：http://gxj.yichun.gov.cn/xxgk-show-61584.html，如需了解更多政府信息，请登录查询。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DejaVu Sans"/>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宋体-PUA">
    <w:panose1 w:val="02010600030101010101"/>
    <w:charset w:val="86"/>
    <w:family w:val="auto"/>
    <w:pitch w:val="default"/>
    <w:sig w:usb0="00000000" w:usb1="10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50621"/>
    <w:rsid w:val="3DF79D1D"/>
    <w:rsid w:val="6AFEFAE3"/>
    <w:rsid w:val="6F7D5965"/>
    <w:rsid w:val="CEFFD9E7"/>
    <w:rsid w:val="DF7B531A"/>
    <w:rsid w:val="F7CB1B16"/>
    <w:rsid w:val="F7FD279C"/>
    <w:rsid w:val="FBFDED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2023-01-13T09:24:00Z</dcterms:created>
  <dc:creator>admin123</dc:creator>
  <cp:lastModifiedBy>admin123</cp:lastModifiedBy>
  <dcterms:modified xsi:type="dcterms:W3CDTF">2024-03-25T09:47:12Z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97B2FE1FB38080A8DDCDBF6342754189</vt:lpwstr>
  </property>
</Properties>
</file>