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right="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宜春市工业和信息化局2021年度政府信息公开工作年度报告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ascii="仿宋_GB2312" w:hAnsi="Tahoma"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ascii="Tahoma" w:hAnsi="Tahoma" w:eastAsia="Tahoma" w:cs="Tahoma"/>
          <w:sz w:val="22"/>
          <w:szCs w:val="22"/>
        </w:rPr>
      </w:pPr>
      <w:r>
        <w:rPr>
          <w:rFonts w:ascii="仿宋_GB2312" w:hAnsi="Tahoma" w:eastAsia="仿宋_GB2312" w:cs="仿宋_GB2312"/>
          <w:kern w:val="0"/>
          <w:sz w:val="32"/>
          <w:szCs w:val="32"/>
          <w:lang w:val="en-US" w:eastAsia="zh-CN" w:bidi="ar"/>
        </w:rPr>
        <w:t>本报告根据《中华人民共和国政府信息公开条例》（以下简称新《条例》）</w:t>
      </w:r>
      <w:r>
        <w:rPr>
          <w:rFonts w:hint="eastAsia" w:ascii="仿宋_GB2312" w:hAnsi="Tahoma" w:eastAsia="仿宋_GB2312" w:cs="仿宋_GB2312"/>
          <w:kern w:val="0"/>
          <w:sz w:val="32"/>
          <w:szCs w:val="32"/>
          <w:lang w:val="en-US" w:eastAsia="zh-CN" w:bidi="ar"/>
        </w:rPr>
        <w:t>和《国务院办公厅政府信息与政务公开办公室关于印发&lt;中华人民共和国政府信息公开工作年度报告格式&gt;的通知》(国办公开办函〔2021〕30号)规定，由宜春市工业和信息化局结合有关统计数据编制。本报告由总体情况、主动公开政府信息情况、收到和处理政府信息公开申请情况、政府信息公开行政复议和行政诉讼情况、存在的主要问题及改进情况、其他需要报告的事项等六个部分组成。本报告中所列数据统计时间为2021年1月1日至2021年12月31日。如对本报告有任何疑问，请与宜春市工业和信息化局秘书科联系（地址：宜春市市政大楼215室，电话：0795-3272608，邮编：336000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ascii="方正黑体_GBK" w:hAnsi="方正黑体_GBK" w:eastAsia="方正黑体_GBK" w:cs="方正黑体_GBK"/>
          <w:kern w:val="0"/>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eastAsia" w:ascii="仿宋_GB2312" w:hAnsi="Tahoma" w:eastAsia="仿宋_GB2312" w:cs="仿宋_GB2312"/>
          <w:kern w:val="0"/>
          <w:sz w:val="32"/>
          <w:szCs w:val="32"/>
          <w:lang w:val="en-US" w:eastAsia="zh-CN" w:bidi="ar"/>
        </w:rPr>
        <w:t>2021年，在市委、市政府的坚强领导下，宜春市工业和信息化局坚持以习近平新时代中国特色社会主义思想为指导，全面贯彻落实党的十九大和十九届二中、三中、四中、五中、六中全会精神，深入贯彻落实习近平总书记视察江西重要讲话和重要指示批示精神，紧紧围绕省委、省政府和市委、市政府的决策部署，严格落实《条例》规定和要求，坚持以人民为中心的发展理念，聚焦市场主体和社会公众关切，持续深入推进政务公开，政府工作透明度进一步提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eastAsia" w:ascii="仿宋_GB2312" w:hAnsi="Tahoma" w:eastAsia="仿宋_GB2312" w:cs="仿宋_GB2312"/>
          <w:kern w:val="0"/>
          <w:sz w:val="32"/>
          <w:szCs w:val="32"/>
          <w:lang w:val="en-US" w:eastAsia="zh-CN" w:bidi="ar"/>
        </w:rPr>
        <w:t>为扎实有效的深入开展好政务公开各项工作，根据单位人员变动情况，及时对局政务公开工作领导小组进行调整，领导小组组长由局主要负责同志担任，分管领导担任副组长，明确由秘书科具体负责政务工作日常工作的组织、协调、监督、检查落实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eastAsia" w:ascii="仿宋_GB2312" w:hAnsi="Tahoma" w:eastAsia="仿宋_GB2312" w:cs="仿宋_GB2312"/>
          <w:kern w:val="0"/>
          <w:sz w:val="32"/>
          <w:szCs w:val="32"/>
          <w:lang w:val="en-US" w:eastAsia="zh-CN" w:bidi="ar"/>
        </w:rPr>
        <w:t>制定并印发了《2021年宜春市工信局政务公开工作计划和责任分工》，明确了各项工作的牵头科室、责任科室和完成时限。形成一级抓一级，层层抓落实的良好工作局面，做到领导力度、目标责任、监督检查“三到位”，为政务公开工作的顺利开展提供了强有力的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eastAsia" w:ascii="仿宋_GB2312" w:hAnsi="Tahoma" w:eastAsia="仿宋_GB2312" w:cs="仿宋_GB2312"/>
          <w:kern w:val="0"/>
          <w:sz w:val="32"/>
          <w:szCs w:val="32"/>
          <w:lang w:val="en-US" w:eastAsia="zh-CN" w:bidi="ar"/>
        </w:rPr>
        <w:t>制定并印发了《宜春市工信局政务公开考核实施办法》，明确了考核的各项内容和分值，通过推行政务公开工作的考核制度，有效的推动了我局政务公开的深入开展，加强和改进了工作作风。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eastAsia" w:ascii="仿宋_GB2312" w:hAnsi="Tahoma" w:eastAsia="仿宋_GB2312" w:cs="仿宋_GB2312"/>
          <w:kern w:val="0"/>
          <w:sz w:val="32"/>
          <w:szCs w:val="32"/>
          <w:lang w:val="en-US" w:eastAsia="zh-CN" w:bidi="ar"/>
        </w:rPr>
        <w:t>2021年通过宜春市工业和信息化局门户网站主动发布政务信息370条，通过宜春市工业和信息化局政府信息公开发布信息110条，通过“宜春工信”微信公众号发布信息238条。共举办了3场新闻发布会, 其中主要负责同志参加新闻发布会2次。共收到政府信息公开申请0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ascii="黑体" w:hAnsi="宋体" w:eastAsia="黑体" w:cs="黑体"/>
          <w:kern w:val="0"/>
          <w:sz w:val="32"/>
          <w:szCs w:val="32"/>
          <w:lang w:val="en-US" w:eastAsia="zh-CN" w:bidi="ar"/>
        </w:rPr>
      </w:pPr>
      <w:r>
        <w:rPr>
          <w:rFonts w:ascii="黑体" w:hAnsi="宋体" w:eastAsia="黑体" w:cs="黑体"/>
          <w:kern w:val="0"/>
          <w:sz w:val="32"/>
          <w:szCs w:val="32"/>
          <w:lang w:val="en-US" w:eastAsia="zh-CN" w:bidi="ar"/>
        </w:rPr>
        <w:t>二、主动公开政府信息情况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黑体" w:hAnsi="宋体" w:eastAsia="黑体" w:cs="黑体"/>
          <w:kern w:val="0"/>
          <w:sz w:val="32"/>
          <w:szCs w:val="32"/>
          <w:lang w:val="en-US" w:eastAsia="zh-CN" w:bidi="ar"/>
        </w:rPr>
      </w:pPr>
      <w:bookmarkStart w:id="0" w:name="_GoBack"/>
      <w:bookmarkEnd w:id="0"/>
    </w:p>
    <w:tbl>
      <w:tblPr>
        <w:tblStyle w:val="2"/>
        <w:tblpPr w:leftFromText="180" w:rightFromText="180" w:vertAnchor="text" w:horzAnchor="page" w:tblpXSpec="center" w:tblpY="577"/>
        <w:tblOverlap w:val="neve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8"/>
        <w:gridCol w:w="1973"/>
        <w:gridCol w:w="2340"/>
        <w:gridCol w:w="2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7220" w:type="dxa"/>
            <w:gridSpan w:val="4"/>
            <w:tcBorders>
              <w:top w:val="single" w:color="000000" w:sz="8" w:space="0"/>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450" w:type="dxa"/>
            <w:vMerge w:val="restart"/>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3690" w:type="dxa"/>
            <w:vMerge w:val="restart"/>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本年制发件数</w:t>
            </w:r>
          </w:p>
        </w:tc>
        <w:tc>
          <w:tcPr>
            <w:tcW w:w="4455" w:type="dxa"/>
            <w:vMerge w:val="restart"/>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本年废止件数</w:t>
            </w:r>
          </w:p>
        </w:tc>
        <w:tc>
          <w:tcPr>
            <w:tcW w:w="5625" w:type="dxa"/>
            <w:vMerge w:val="restart"/>
            <w:tcBorders>
              <w:top w:val="single" w:color="000000" w:sz="8" w:space="0"/>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450" w:type="dxa"/>
            <w:vMerge w:val="continue"/>
            <w:tcBorders>
              <w:top w:val="nil"/>
              <w:left w:val="single" w:color="000000" w:sz="8" w:space="0"/>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c>
          <w:tcPr>
            <w:tcW w:w="3690" w:type="dxa"/>
            <w:vMerge w:val="continue"/>
            <w:tcBorders>
              <w:top w:val="nil"/>
              <w:left w:val="nil"/>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c>
          <w:tcPr>
            <w:tcW w:w="4455" w:type="dxa"/>
            <w:vMerge w:val="continue"/>
            <w:tcBorders>
              <w:top w:val="nil"/>
              <w:left w:val="nil"/>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c>
          <w:tcPr>
            <w:tcW w:w="5625" w:type="dxa"/>
            <w:vMerge w:val="continue"/>
            <w:tcBorders>
              <w:top w:val="single" w:color="000000" w:sz="8" w:space="0"/>
              <w:left w:val="nil"/>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规章</w:t>
            </w:r>
          </w:p>
        </w:tc>
        <w:tc>
          <w:tcPr>
            <w:tcW w:w="3690"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45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62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lang w:val="en-US" w:eastAsia="zh-CN"/>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行政规范性文件</w:t>
            </w:r>
          </w:p>
        </w:tc>
        <w:tc>
          <w:tcPr>
            <w:tcW w:w="3690"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1"/>
                <w:szCs w:val="21"/>
                <w:u w:val="none"/>
                <w:lang w:val="en-US" w:eastAsia="zh-CN"/>
              </w:rPr>
            </w:pPr>
            <w:r>
              <w:rPr>
                <w:rFonts w:hint="eastAsia" w:ascii="Times New Roman" w:hAnsi="Times New Roman" w:eastAsia="微软雅黑" w:cs="Times New Roman"/>
                <w:i w:val="0"/>
                <w:iCs w:val="0"/>
                <w:color w:val="333333"/>
                <w:sz w:val="21"/>
                <w:szCs w:val="21"/>
                <w:u w:val="none"/>
                <w:lang w:val="en-US" w:eastAsia="zh-CN"/>
              </w:rPr>
              <w:t>0</w:t>
            </w:r>
          </w:p>
        </w:tc>
        <w:tc>
          <w:tcPr>
            <w:tcW w:w="445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1"/>
                <w:szCs w:val="21"/>
                <w:u w:val="none"/>
                <w:lang w:val="en-US" w:eastAsia="zh-CN"/>
              </w:rPr>
            </w:pPr>
            <w:r>
              <w:rPr>
                <w:rFonts w:hint="eastAsia" w:ascii="Times New Roman" w:hAnsi="Times New Roman" w:eastAsia="微软雅黑" w:cs="Times New Roman"/>
                <w:i w:val="0"/>
                <w:iCs w:val="0"/>
                <w:color w:val="333333"/>
                <w:sz w:val="21"/>
                <w:szCs w:val="21"/>
                <w:u w:val="none"/>
                <w:lang w:val="en-US" w:eastAsia="zh-CN"/>
              </w:rPr>
              <w:t>0</w:t>
            </w:r>
          </w:p>
        </w:tc>
        <w:tc>
          <w:tcPr>
            <w:tcW w:w="562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1"/>
                <w:szCs w:val="21"/>
                <w:u w:val="none"/>
                <w:lang w:val="en-US"/>
              </w:rPr>
            </w:pPr>
            <w:r>
              <w:rPr>
                <w:rFonts w:hint="eastAsia" w:ascii="Times New Roman" w:hAnsi="Times New Roman" w:eastAsia="微软雅黑" w:cs="Times New Roman"/>
                <w:i w:val="0"/>
                <w:iCs w:val="0"/>
                <w:color w:val="333333"/>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行政许可</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行政处罚</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行政强制</w:t>
            </w:r>
          </w:p>
        </w:tc>
        <w:tc>
          <w:tcPr>
            <w:tcW w:w="13770" w:type="dxa"/>
            <w:gridSpan w:val="3"/>
            <w:tcBorders>
              <w:top w:val="nil"/>
              <w:left w:val="nil"/>
              <w:bottom w:val="single" w:color="000000" w:sz="8" w:space="0"/>
              <w:right w:val="single" w:color="000000" w:sz="8" w:space="0"/>
            </w:tcBorders>
            <w:shd w:val="clear" w:color="auto" w:fill="DAEEF3"/>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nil"/>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13770" w:type="dxa"/>
            <w:gridSpan w:val="3"/>
            <w:tcBorders>
              <w:top w:val="single" w:color="000000" w:sz="8" w:space="0"/>
              <w:left w:val="single" w:color="000000" w:sz="8" w:space="0"/>
              <w:bottom w:val="single" w:color="000000" w:sz="8" w:space="0"/>
              <w:right w:val="single" w:color="000000" w:sz="4"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行政事业性收费</w:t>
            </w:r>
          </w:p>
        </w:tc>
        <w:tc>
          <w:tcPr>
            <w:tcW w:w="13770" w:type="dxa"/>
            <w:gridSpan w:val="3"/>
            <w:tcBorders>
              <w:top w:val="nil"/>
              <w:left w:val="nil"/>
              <w:bottom w:val="single" w:color="000000" w:sz="8" w:space="0"/>
              <w:right w:val="single" w:color="000000" w:sz="8" w:space="0"/>
            </w:tcBorders>
            <w:shd w:val="clear" w:color="auto" w:fill="DAEEF3"/>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黑体" w:hAnsi="宋体" w:eastAsia="黑体" w:cs="黑体"/>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default" w:ascii="黑体" w:hAnsi="宋体" w:eastAsia="黑体" w:cs="黑体"/>
          <w:kern w:val="0"/>
          <w:sz w:val="32"/>
          <w:szCs w:val="32"/>
          <w:lang w:val="en-US" w:eastAsia="zh-CN" w:bidi="ar"/>
        </w:rPr>
        <w:t>三、收到和处理政府信息公开申请情况</w:t>
      </w:r>
    </w:p>
    <w:tbl>
      <w:tblPr>
        <w:tblStyle w:val="2"/>
        <w:tblW w:w="54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3"/>
        <w:gridCol w:w="1130"/>
        <w:gridCol w:w="1661"/>
        <w:gridCol w:w="817"/>
        <w:gridCol w:w="740"/>
        <w:gridCol w:w="765"/>
        <w:gridCol w:w="894"/>
        <w:gridCol w:w="906"/>
        <w:gridCol w:w="809"/>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1915" w:type="pct"/>
            <w:gridSpan w:val="3"/>
            <w:vMerge w:val="restart"/>
            <w:tcBorders>
              <w:top w:val="single" w:color="000000" w:sz="8" w:space="0"/>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（本列数据的勾稽关系为：第一项加第二项之和，等于第三项加第四项之和）</w:t>
            </w:r>
          </w:p>
        </w:tc>
        <w:tc>
          <w:tcPr>
            <w:tcW w:w="3084" w:type="pct"/>
            <w:gridSpan w:val="7"/>
            <w:tcBorders>
              <w:top w:val="single" w:color="000000" w:sz="8" w:space="0"/>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15" w:type="pct"/>
            <w:gridSpan w:val="3"/>
            <w:vMerge w:val="continue"/>
            <w:tcBorders>
              <w:top w:val="single" w:color="000000" w:sz="8" w:space="0"/>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333333"/>
                <w:sz w:val="18"/>
                <w:szCs w:val="18"/>
                <w:u w:val="none"/>
              </w:rPr>
            </w:pPr>
          </w:p>
        </w:tc>
        <w:tc>
          <w:tcPr>
            <w:tcW w:w="440"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自然人</w:t>
            </w:r>
          </w:p>
        </w:tc>
        <w:tc>
          <w:tcPr>
            <w:tcW w:w="2217" w:type="pct"/>
            <w:gridSpan w:val="5"/>
            <w:tcBorders>
              <w:top w:val="single" w:color="000000" w:sz="8" w:space="0"/>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法人或其他组织</w:t>
            </w:r>
          </w:p>
        </w:tc>
        <w:tc>
          <w:tcPr>
            <w:tcW w:w="426"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915" w:type="pct"/>
            <w:gridSpan w:val="3"/>
            <w:vMerge w:val="continue"/>
            <w:tcBorders>
              <w:top w:val="single" w:color="000000" w:sz="8" w:space="0"/>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333333"/>
                <w:sz w:val="18"/>
                <w:szCs w:val="18"/>
                <w:u w:val="none"/>
              </w:rPr>
            </w:pPr>
          </w:p>
        </w:tc>
        <w:tc>
          <w:tcPr>
            <w:tcW w:w="440"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商业企业</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科研机构</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社会公益组织</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法律服务机构</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其他</w:t>
            </w:r>
          </w:p>
        </w:tc>
        <w:tc>
          <w:tcPr>
            <w:tcW w:w="426"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915" w:type="pct"/>
            <w:gridSpan w:val="3"/>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一、本年新收政府信息公开申请数量</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915" w:type="pct"/>
            <w:gridSpan w:val="3"/>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二、上年结转政府信息公开申请数量</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411" w:type="pct"/>
            <w:vMerge w:val="restart"/>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三、本年度办理结果</w:t>
            </w:r>
          </w:p>
        </w:tc>
        <w:tc>
          <w:tcPr>
            <w:tcW w:w="1503" w:type="pct"/>
            <w:gridSpan w:val="2"/>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（一）予以公开</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1503" w:type="pct"/>
            <w:gridSpan w:val="2"/>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（二）部分公开（区分处理的，只计这一情形，不计其他情形）</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（三）不予公开</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1.属于国家秘密</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2.其他法律行政法规禁止公开</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3.危及“三安全一稳定”</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4.保护第三方合法权益</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5.属于三类内部事务信息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6.属于四类过程性信息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7.属于行政执法案卷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8.属于行政查询事项</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（四）无法提供</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1.本机关不掌握相关政府信息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2.没有现成信息需要另行制作</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3.补正后申请内容仍不明确</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（五）不予处理</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1.信访举报投诉类申请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2.重复申请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3.要求提供公开出版物</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4.无正当理由大量反复申请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5.要求行政机关确认或重新出具已获取信息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（六）其他处理</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1.申请人无正当理由逾期不补正、行政机关不再处理其政府信息公开申请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2.申请人逾期未按收费通知要求缴纳费用、行政机关不再处理其政府信息公开申请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3.其他</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1503" w:type="pct"/>
            <w:gridSpan w:val="2"/>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（七）总计</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915" w:type="pct"/>
            <w:gridSpan w:val="3"/>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四、结转下年度继续办理</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黑体" w:hAnsi="宋体" w:eastAsia="黑体" w:cs="黑体"/>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default" w:ascii="黑体" w:hAnsi="宋体" w:eastAsia="黑体" w:cs="黑体"/>
          <w:kern w:val="0"/>
          <w:sz w:val="32"/>
          <w:szCs w:val="32"/>
          <w:lang w:val="en-US" w:eastAsia="zh-CN" w:bidi="ar"/>
        </w:rPr>
        <w:t>四、政府信息公开行政复议、行政诉讼情况</w:t>
      </w:r>
    </w:p>
    <w:tbl>
      <w:tblPr>
        <w:tblStyle w:val="2"/>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2"/>
        <w:gridCol w:w="638"/>
        <w:gridCol w:w="619"/>
        <w:gridCol w:w="638"/>
        <w:gridCol w:w="582"/>
        <w:gridCol w:w="600"/>
        <w:gridCol w:w="563"/>
        <w:gridCol w:w="638"/>
        <w:gridCol w:w="619"/>
        <w:gridCol w:w="600"/>
        <w:gridCol w:w="638"/>
        <w:gridCol w:w="619"/>
        <w:gridCol w:w="582"/>
        <w:gridCol w:w="619"/>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305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行政复议</w:t>
            </w:r>
          </w:p>
        </w:tc>
        <w:tc>
          <w:tcPr>
            <w:tcW w:w="6012"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结果维持</w:t>
            </w:r>
          </w:p>
        </w:tc>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结果纠正</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其他结果</w:t>
            </w:r>
          </w:p>
        </w:tc>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尚未审结</w:t>
            </w:r>
          </w:p>
        </w:tc>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总计</w:t>
            </w:r>
          </w:p>
        </w:tc>
        <w:tc>
          <w:tcPr>
            <w:tcW w:w="30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未经复议直接起诉</w:t>
            </w:r>
          </w:p>
        </w:tc>
        <w:tc>
          <w:tcPr>
            <w:tcW w:w="299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结果维持</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结果纠正</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其他结果</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尚未结案</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总计</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结果维持</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结果纠正</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其他结果</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尚未结案</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right="0"/>
        <w:jc w:val="both"/>
        <w:rPr>
          <w:rFonts w:hint="default" w:ascii="黑体" w:hAnsi="宋体" w:eastAsia="黑体" w:cs="黑体"/>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default" w:ascii="黑体" w:hAnsi="宋体" w:eastAsia="黑体" w:cs="黑体"/>
          <w:kern w:val="0"/>
          <w:sz w:val="32"/>
          <w:szCs w:val="32"/>
          <w:lang w:val="en-US" w:eastAsia="zh-CN" w:bidi="ar"/>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eastAsia" w:ascii="仿宋_GB2312" w:hAnsi="Tahoma" w:eastAsia="仿宋_GB2312" w:cs="仿宋_GB2312"/>
          <w:kern w:val="0"/>
          <w:sz w:val="32"/>
          <w:szCs w:val="32"/>
          <w:lang w:val="en-US" w:eastAsia="zh-CN" w:bidi="ar"/>
        </w:rPr>
        <w:t>一年来，我局圆满完成了政务公开的各项工作任务，但对照《条例》的高标准严要求，还是存在一定差距。</w:t>
      </w:r>
      <w:r>
        <w:rPr>
          <w:rFonts w:hint="eastAsia" w:ascii="仿宋_GB2312" w:hAnsi="Tahoma" w:eastAsia="仿宋_GB2312" w:cs="仿宋_GB2312"/>
          <w:b/>
          <w:bCs/>
          <w:kern w:val="0"/>
          <w:sz w:val="32"/>
          <w:szCs w:val="32"/>
          <w:lang w:val="en-US" w:eastAsia="zh-CN" w:bidi="ar"/>
        </w:rPr>
        <w:t>一是亮点工作不多。</w:t>
      </w:r>
      <w:r>
        <w:rPr>
          <w:rFonts w:hint="eastAsia" w:ascii="仿宋_GB2312" w:hAnsi="Tahoma" w:eastAsia="仿宋_GB2312" w:cs="仿宋_GB2312"/>
          <w:kern w:val="0"/>
          <w:sz w:val="32"/>
          <w:szCs w:val="32"/>
          <w:lang w:val="en-US" w:eastAsia="zh-CN" w:bidi="ar"/>
        </w:rPr>
        <w:t>虽能够按照市政府制定的工作要点完成相关的任务，但主动谋划创新，积极参与市政府举办的各项创新性的政务公开活动不够。</w:t>
      </w:r>
      <w:r>
        <w:rPr>
          <w:rFonts w:hint="eastAsia" w:ascii="仿宋_GB2312" w:hAnsi="Tahoma" w:eastAsia="仿宋_GB2312" w:cs="仿宋_GB2312"/>
          <w:b/>
          <w:bCs/>
          <w:kern w:val="0"/>
          <w:sz w:val="32"/>
          <w:szCs w:val="32"/>
          <w:lang w:val="en-US" w:eastAsia="zh-CN" w:bidi="ar"/>
        </w:rPr>
        <w:t>二是规范性文件多样化解读质量不高。</w:t>
      </w:r>
      <w:r>
        <w:rPr>
          <w:rFonts w:hint="eastAsia" w:ascii="仿宋_GB2312" w:hAnsi="Tahoma" w:eastAsia="仿宋_GB2312" w:cs="仿宋_GB2312"/>
          <w:kern w:val="0"/>
          <w:sz w:val="32"/>
          <w:szCs w:val="32"/>
          <w:lang w:val="en-US" w:eastAsia="zh-CN" w:bidi="ar"/>
        </w:rPr>
        <w:t>今年对参与制定的主动公开规范性文件采用了文字解读和图片解读的形式进行了多样化解读，但因单位工作人员能力有限，图片解读制作水准不够高,没有采用视频解读、H5解读等形式制作。</w:t>
      </w:r>
      <w:r>
        <w:rPr>
          <w:rFonts w:hint="eastAsia" w:ascii="仿宋_GB2312" w:hAnsi="Tahoma" w:eastAsia="仿宋_GB2312" w:cs="仿宋_GB2312"/>
          <w:b/>
          <w:bCs/>
          <w:kern w:val="0"/>
          <w:sz w:val="32"/>
          <w:szCs w:val="32"/>
          <w:lang w:val="en-US" w:eastAsia="zh-CN" w:bidi="ar"/>
        </w:rPr>
        <w:t>三是能力不足问题仍然不同程度存在。</w:t>
      </w:r>
      <w:r>
        <w:rPr>
          <w:rFonts w:hint="eastAsia" w:ascii="仿宋_GB2312" w:hAnsi="Tahoma" w:eastAsia="仿宋_GB2312" w:cs="仿宋_GB2312"/>
          <w:kern w:val="0"/>
          <w:sz w:val="32"/>
          <w:szCs w:val="32"/>
          <w:lang w:val="en-US" w:eastAsia="zh-CN" w:bidi="ar"/>
        </w:rPr>
        <w:t>政务公开工作的要求和标准越来越高，我局从牵头科室秘书科到各承担具体业务的科室，在完成各项政务公开工作任务时，不同程度的存在能力不足的问题。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2"/>
        <w:jc w:val="both"/>
        <w:rPr>
          <w:rFonts w:hint="default" w:ascii="Tahoma" w:hAnsi="Tahoma" w:eastAsia="Tahoma" w:cs="Tahoma"/>
          <w:sz w:val="22"/>
          <w:szCs w:val="22"/>
        </w:rPr>
      </w:pPr>
      <w:r>
        <w:rPr>
          <w:rFonts w:hint="eastAsia" w:ascii="仿宋_GB2312" w:hAnsi="Tahoma" w:eastAsia="仿宋_GB2312" w:cs="仿宋_GB2312"/>
          <w:b/>
          <w:bCs/>
          <w:kern w:val="0"/>
          <w:sz w:val="32"/>
          <w:szCs w:val="32"/>
          <w:lang w:val="en-US" w:eastAsia="zh-CN" w:bidi="ar"/>
        </w:rPr>
        <w:t>改进措施</w:t>
      </w:r>
      <w:r>
        <w:rPr>
          <w:rFonts w:hint="eastAsia" w:ascii="仿宋_GB2312" w:hAnsi="Tahoma" w:eastAsia="仿宋_GB2312" w:cs="仿宋_GB2312"/>
          <w:kern w:val="0"/>
          <w:sz w:val="32"/>
          <w:szCs w:val="32"/>
          <w:lang w:val="en-US" w:eastAsia="zh-CN" w:bidi="ar"/>
        </w:rPr>
        <w:t>：1.积极参与市政府统一筹划的政府信息公开活动；2.积极参加上级部门组织的各类政务公开培训会议，提升政务公开工作能力；3.提升主动公开规范性文件的解读质量。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rPr>
          <w:rFonts w:hint="default" w:ascii="Tahoma" w:hAnsi="Tahoma" w:eastAsia="Tahoma" w:cs="Tahoma"/>
          <w:sz w:val="22"/>
          <w:szCs w:val="22"/>
        </w:rPr>
      </w:pPr>
      <w:r>
        <w:rPr>
          <w:rFonts w:hint="default" w:ascii="黑体" w:hAnsi="宋体" w:eastAsia="黑体" w:cs="黑体"/>
          <w:kern w:val="0"/>
          <w:sz w:val="32"/>
          <w:szCs w:val="32"/>
          <w:lang w:val="en-US" w:eastAsia="zh-CN" w:bidi="ar"/>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jc w:val="both"/>
      </w:pPr>
      <w:r>
        <w:rPr>
          <w:rFonts w:hint="eastAsia" w:ascii="仿宋_GB2312" w:hAnsi="Calibri" w:eastAsia="仿宋_GB2312" w:cs="仿宋_GB2312"/>
          <w:kern w:val="0"/>
          <w:sz w:val="32"/>
          <w:szCs w:val="32"/>
          <w:lang w:val="en-US" w:eastAsia="zh-CN" w:bidi="ar"/>
        </w:rPr>
        <w:t>2021年度，本机关无收取信息处理费情况，宜春市工业和信息化局网站网址为：</w:t>
      </w:r>
      <w:r>
        <w:rPr>
          <w:rFonts w:hint="default" w:ascii="Tahoma" w:hAnsi="Tahoma" w:eastAsia="Tahoma" w:cs="Tahoma"/>
          <w:kern w:val="0"/>
          <w:sz w:val="22"/>
          <w:szCs w:val="22"/>
          <w:lang w:val="en-US" w:eastAsia="zh-CN" w:bidi="ar"/>
        </w:rPr>
        <w:fldChar w:fldCharType="begin"/>
      </w:r>
      <w:r>
        <w:rPr>
          <w:rFonts w:hint="default" w:ascii="Tahoma" w:hAnsi="Tahoma" w:eastAsia="Tahoma" w:cs="Tahoma"/>
          <w:kern w:val="0"/>
          <w:sz w:val="22"/>
          <w:szCs w:val="22"/>
          <w:lang w:val="en-US" w:eastAsia="zh-CN" w:bidi="ar"/>
        </w:rPr>
        <w:instrText xml:space="preserve"> HYPERLINK "http://drc.yichun.gov.cn/" </w:instrText>
      </w:r>
      <w:r>
        <w:rPr>
          <w:rFonts w:hint="default" w:ascii="Tahoma" w:hAnsi="Tahoma" w:eastAsia="Tahoma" w:cs="Tahoma"/>
          <w:kern w:val="0"/>
          <w:sz w:val="22"/>
          <w:szCs w:val="22"/>
          <w:lang w:val="en-US" w:eastAsia="zh-CN" w:bidi="ar"/>
        </w:rPr>
        <w:fldChar w:fldCharType="separate"/>
      </w:r>
      <w:r>
        <w:rPr>
          <w:rStyle w:val="4"/>
          <w:rFonts w:hint="eastAsia" w:ascii="仿宋_GB2312" w:hAnsi="Tahoma" w:eastAsia="仿宋_GB2312" w:cs="仿宋_GB2312"/>
          <w:color w:val="000000"/>
          <w:sz w:val="32"/>
          <w:szCs w:val="32"/>
        </w:rPr>
        <w:t>http://gxj.yichun.gov.cn/</w:t>
      </w:r>
      <w:r>
        <w:rPr>
          <w:rFonts w:hint="default" w:ascii="Tahoma" w:hAnsi="Tahoma" w:eastAsia="Tahoma" w:cs="Tahoma"/>
          <w:kern w:val="0"/>
          <w:sz w:val="22"/>
          <w:szCs w:val="22"/>
          <w:lang w:val="en-US" w:eastAsia="zh-CN" w:bidi="ar"/>
        </w:rPr>
        <w:fldChar w:fldCharType="end"/>
      </w:r>
      <w:r>
        <w:rPr>
          <w:rFonts w:hint="eastAsia" w:ascii="仿宋_GB2312" w:hAnsi="Calibri" w:eastAsia="仿宋_GB2312" w:cs="仿宋_GB2312"/>
          <w:kern w:val="0"/>
          <w:sz w:val="32"/>
          <w:szCs w:val="32"/>
          <w:lang w:val="en-US" w:eastAsia="zh-CN" w:bidi="ar"/>
        </w:rPr>
        <w:t>，宜春市工业和信息化局政府信息公开网址为：http://gxj.yichun.gov.cn/xxgk-show-61584.html，如需了解更多政府信息，请登录查询。</w:t>
      </w:r>
    </w:p>
    <w:p>
      <w:pPr>
        <w:keepNext w:val="0"/>
        <w:keepLines w:val="0"/>
        <w:pageBreakBefore w:val="0"/>
        <w:kinsoku/>
        <w:wordWrap/>
        <w:overflowPunct/>
        <w:topLinePunct w:val="0"/>
        <w:autoSpaceDE/>
        <w:autoSpaceDN/>
        <w:bidi w:val="0"/>
        <w:adjustRightInd/>
        <w:snapToGrid/>
        <w:spacing w:beforeAutospacing="0"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F97D3B"/>
    <w:rsid w:val="5FBD3F30"/>
    <w:rsid w:val="ECDF6F98"/>
    <w:rsid w:val="FFAB3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2023-01-16T18:29:00Z</dcterms:created>
  <dc:creator>admin123</dc:creator>
  <cp:lastModifiedBy>admin123</cp:lastModifiedBy>
  <dcterms:modified xsi:type="dcterms:W3CDTF">2024-03-25T09:49:45Z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E6D9FD4398BB2165BAB6C463D6684CAC</vt:lpwstr>
  </property>
</Properties>
</file>